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3B3EA" w14:textId="77777777" w:rsidR="007F3AA9" w:rsidRPr="002772E7" w:rsidRDefault="007F3AA9" w:rsidP="007F3A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772E7">
        <w:rPr>
          <w:rFonts w:ascii="Times New Roman" w:hAnsi="Times New Roman" w:cs="Times New Roman"/>
          <w:sz w:val="24"/>
          <w:szCs w:val="24"/>
          <w:u w:val="single"/>
        </w:rPr>
        <w:t>Projekt</w:t>
      </w:r>
    </w:p>
    <w:p w14:paraId="41DA0BC6" w14:textId="77777777" w:rsidR="007F3AA9" w:rsidRPr="002772E7" w:rsidRDefault="007F3AA9" w:rsidP="007F3A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276D5" w14:textId="77777777" w:rsidR="007F3AA9" w:rsidRPr="002772E7" w:rsidRDefault="007F3AA9" w:rsidP="007F3AA9">
      <w:pPr>
        <w:spacing w:line="36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2772E7">
        <w:rPr>
          <w:rFonts w:ascii="Times New Roman" w:hAnsi="Times New Roman" w:cs="Times New Roman"/>
          <w:b/>
          <w:bCs/>
          <w:spacing w:val="20"/>
          <w:sz w:val="24"/>
          <w:szCs w:val="24"/>
        </w:rPr>
        <w:t>USTAWA</w:t>
      </w:r>
    </w:p>
    <w:p w14:paraId="2A95A34B" w14:textId="77777777" w:rsidR="007F3AA9" w:rsidRPr="002772E7" w:rsidRDefault="007F3AA9" w:rsidP="007F3A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2E7">
        <w:rPr>
          <w:rFonts w:ascii="Times New Roman" w:hAnsi="Times New Roman" w:cs="Times New Roman"/>
          <w:sz w:val="24"/>
          <w:szCs w:val="24"/>
        </w:rPr>
        <w:t>z dnia</w:t>
      </w:r>
    </w:p>
    <w:p w14:paraId="49A64CE3" w14:textId="77777777" w:rsidR="007F3AA9" w:rsidRPr="002772E7" w:rsidRDefault="007F3AA9" w:rsidP="007F3AA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2E7">
        <w:rPr>
          <w:rFonts w:ascii="Times New Roman" w:hAnsi="Times New Roman" w:cs="Times New Roman"/>
          <w:b/>
          <w:bCs/>
          <w:sz w:val="24"/>
          <w:szCs w:val="24"/>
        </w:rPr>
        <w:t>o zmianie ustawy o mniejszościach narodowych i etnicznych oraz o języku regionalnym</w:t>
      </w:r>
    </w:p>
    <w:p w14:paraId="0BE075BD" w14:textId="77777777" w:rsidR="007F3AA9" w:rsidRPr="002772E7" w:rsidRDefault="007F3AA9" w:rsidP="007F3AA9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72E7">
        <w:rPr>
          <w:rFonts w:ascii="Times New Roman" w:hAnsi="Times New Roman" w:cs="Times New Roman"/>
          <w:b/>
          <w:bCs/>
          <w:sz w:val="24"/>
          <w:szCs w:val="24"/>
        </w:rPr>
        <w:t xml:space="preserve">Art. 1. </w:t>
      </w:r>
      <w:r w:rsidRPr="002772E7">
        <w:rPr>
          <w:rFonts w:ascii="Times New Roman" w:hAnsi="Times New Roman" w:cs="Times New Roman"/>
          <w:sz w:val="24"/>
          <w:szCs w:val="24"/>
        </w:rPr>
        <w:t>W ustawie z dnia 6 stycznia 2005 r. o mniejszościach narodowych i etnicznych oraz o języku regionalnym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2E7">
        <w:rPr>
          <w:rFonts w:ascii="Times New Roman" w:hAnsi="Times New Roman" w:cs="Times New Roman"/>
          <w:sz w:val="24"/>
          <w:szCs w:val="24"/>
        </w:rPr>
        <w:t>U. z 2017 r. poz. 823) po art.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772E7">
        <w:rPr>
          <w:rFonts w:ascii="Times New Roman" w:hAnsi="Times New Roman" w:cs="Times New Roman"/>
          <w:sz w:val="24"/>
          <w:szCs w:val="24"/>
        </w:rPr>
        <w:t xml:space="preserve"> dodaje się art.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772E7">
        <w:rPr>
          <w:rFonts w:ascii="Times New Roman" w:hAnsi="Times New Roman" w:cs="Times New Roman"/>
          <w:sz w:val="24"/>
          <w:szCs w:val="24"/>
        </w:rPr>
        <w:t>a w brzmieniu:</w:t>
      </w:r>
    </w:p>
    <w:p w14:paraId="3D117BE6" w14:textId="77777777" w:rsidR="007F3AA9" w:rsidRPr="002772E7" w:rsidRDefault="007F3AA9" w:rsidP="007F3AA9">
      <w:pPr>
        <w:spacing w:line="36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72E7">
        <w:rPr>
          <w:rFonts w:ascii="Times New Roman" w:hAnsi="Times New Roman" w:cs="Times New Roman"/>
          <w:sz w:val="24"/>
          <w:szCs w:val="24"/>
        </w:rPr>
        <w:t>„Art.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772E7">
        <w:rPr>
          <w:rFonts w:ascii="Times New Roman" w:hAnsi="Times New Roman" w:cs="Times New Roman"/>
          <w:sz w:val="24"/>
          <w:szCs w:val="24"/>
        </w:rPr>
        <w:t xml:space="preserve">a. 1. Obsługę merytoryczną i organizacyjno-prawną </w:t>
      </w:r>
      <w:r>
        <w:rPr>
          <w:rFonts w:ascii="Times New Roman" w:hAnsi="Times New Roman" w:cs="Times New Roman"/>
          <w:sz w:val="24"/>
          <w:szCs w:val="24"/>
        </w:rPr>
        <w:t xml:space="preserve">wchodzących w skład Komisji Wspólnej </w:t>
      </w:r>
      <w:r w:rsidRPr="002772E7">
        <w:rPr>
          <w:rFonts w:ascii="Times New Roman" w:hAnsi="Times New Roman" w:cs="Times New Roman"/>
          <w:sz w:val="24"/>
          <w:szCs w:val="24"/>
        </w:rPr>
        <w:t>przedstawicieli mniejszości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72E7">
        <w:rPr>
          <w:rFonts w:ascii="Times New Roman" w:hAnsi="Times New Roman" w:cs="Times New Roman"/>
          <w:sz w:val="24"/>
          <w:szCs w:val="24"/>
        </w:rPr>
        <w:t xml:space="preserve"> przedstawicieli społeczności posługującej się językiem, o którym mowa w art. 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2E7">
        <w:rPr>
          <w:rFonts w:ascii="Times New Roman" w:hAnsi="Times New Roman" w:cs="Times New Roman"/>
          <w:sz w:val="24"/>
          <w:szCs w:val="24"/>
        </w:rPr>
        <w:t>w tym współprzewodniczącego Komisji Wspólnej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291D">
        <w:rPr>
          <w:rFonts w:ascii="Times New Roman" w:hAnsi="Times New Roman" w:cs="Times New Roman"/>
          <w:sz w:val="24"/>
          <w:szCs w:val="24"/>
        </w:rPr>
        <w:t xml:space="preserve"> będącego przedstawicielem mniejszości i społeczności posługującej się językiem, o którym mowa w art. 19</w:t>
      </w:r>
      <w:r w:rsidRPr="002772E7">
        <w:rPr>
          <w:rFonts w:ascii="Times New Roman" w:hAnsi="Times New Roman" w:cs="Times New Roman"/>
          <w:sz w:val="24"/>
          <w:szCs w:val="24"/>
        </w:rPr>
        <w:t xml:space="preserve">, zapewnia Kancelaria Sejmu. </w:t>
      </w:r>
    </w:p>
    <w:p w14:paraId="62CAEEC9" w14:textId="77777777" w:rsidR="007F3AA9" w:rsidRPr="002772E7" w:rsidRDefault="007F3AA9" w:rsidP="007F3AA9">
      <w:pPr>
        <w:spacing w:line="36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72E7">
        <w:rPr>
          <w:rFonts w:ascii="Times New Roman" w:hAnsi="Times New Roman" w:cs="Times New Roman"/>
          <w:sz w:val="24"/>
          <w:szCs w:val="24"/>
        </w:rPr>
        <w:t>2. Koszty związane z obsługą, o której mowa w ust.1, są pokrywane z budżetu państwa ze środków, których dysponentem jest Szef Kancelarii Sejmu.”.</w:t>
      </w:r>
    </w:p>
    <w:p w14:paraId="1E3772C2" w14:textId="77777777" w:rsidR="007F3AA9" w:rsidRDefault="007F3AA9" w:rsidP="007F3AA9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72E7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Pr="002772E7">
        <w:rPr>
          <w:rFonts w:ascii="Times New Roman" w:hAnsi="Times New Roman" w:cs="Times New Roman"/>
          <w:sz w:val="24"/>
          <w:szCs w:val="24"/>
        </w:rPr>
        <w:t xml:space="preserve">. </w:t>
      </w:r>
      <w:r w:rsidRPr="003C66B2">
        <w:rPr>
          <w:rFonts w:ascii="Times New Roman" w:hAnsi="Times New Roman" w:cs="Times New Roman"/>
          <w:sz w:val="24"/>
          <w:szCs w:val="24"/>
        </w:rPr>
        <w:t>Ustawa wchodzi w życie pierwszego dnia miesiąca następującego po upływie 3 miesięcy od dnia ogłoszenia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3A38DE" w14:textId="77777777" w:rsidR="007F3AA9" w:rsidRDefault="007F3AA9" w:rsidP="007F3A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485EC" w14:textId="77777777" w:rsidR="007F3AA9" w:rsidRDefault="007F3AA9" w:rsidP="007F3A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29072" w14:textId="77777777" w:rsidR="007F3AA9" w:rsidRDefault="007F3AA9" w:rsidP="007F3AA9">
      <w:p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B5C137E" w14:textId="77777777" w:rsidR="007F3AA9" w:rsidRPr="007D497E" w:rsidRDefault="007F3AA9" w:rsidP="007F3A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pacing w:val="20"/>
          <w:sz w:val="24"/>
          <w:szCs w:val="24"/>
        </w:rPr>
      </w:pPr>
      <w:r w:rsidRPr="007D497E">
        <w:rPr>
          <w:rFonts w:ascii="Times New Roman" w:hAnsi="Times New Roman" w:cs="Times New Roman"/>
          <w:b/>
          <w:bCs/>
          <w:caps/>
          <w:spacing w:val="20"/>
          <w:sz w:val="24"/>
          <w:szCs w:val="24"/>
        </w:rPr>
        <w:lastRenderedPageBreak/>
        <w:t>Uzasadnienie</w:t>
      </w:r>
    </w:p>
    <w:p w14:paraId="7664BDCF" w14:textId="77777777" w:rsidR="007F3AA9" w:rsidRPr="007D497E" w:rsidRDefault="007F3AA9" w:rsidP="007F3A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2A3C4" w14:textId="77777777" w:rsidR="007F3AA9" w:rsidRDefault="007F3AA9" w:rsidP="007F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ustawa ma na celu zapewnienie przez Kancelarię Sejmu obsługi merytorycznej i organizacyjno-prawnej dla wchodzących w skład Komisji </w:t>
      </w:r>
      <w:r w:rsidRPr="00C9613C">
        <w:rPr>
          <w:rFonts w:ascii="Times New Roman" w:hAnsi="Times New Roman" w:cs="Times New Roman"/>
          <w:sz w:val="24"/>
          <w:szCs w:val="24"/>
        </w:rPr>
        <w:t>Wspóln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9613C">
        <w:rPr>
          <w:rFonts w:ascii="Times New Roman" w:hAnsi="Times New Roman" w:cs="Times New Roman"/>
          <w:sz w:val="24"/>
          <w:szCs w:val="24"/>
        </w:rPr>
        <w:t xml:space="preserve"> Rządu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613C">
        <w:rPr>
          <w:rFonts w:ascii="Times New Roman" w:hAnsi="Times New Roman" w:cs="Times New Roman"/>
          <w:sz w:val="24"/>
          <w:szCs w:val="24"/>
        </w:rPr>
        <w:t>Mniejszości Narodowych i Etnicznych</w:t>
      </w:r>
      <w:r>
        <w:rPr>
          <w:rFonts w:ascii="Times New Roman" w:hAnsi="Times New Roman" w:cs="Times New Roman"/>
          <w:sz w:val="24"/>
          <w:szCs w:val="24"/>
        </w:rPr>
        <w:t xml:space="preserve"> (dalej jako: „Komisja Wspólna”) przedstawicieli mniejszości narodowych i etnicznych oraz przedstawicieli społeczności, których członkowie posługują się językiem regionalnym. Obsługa ma być pokrywana z budżetu państwa, ze środków znajdujących się w dyspozycji Szefa Kancelarii Sejmu. </w:t>
      </w:r>
    </w:p>
    <w:p w14:paraId="58E14987" w14:textId="77777777" w:rsidR="007F3AA9" w:rsidRDefault="007F3AA9" w:rsidP="007F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Zaprezentowane rozwiązanie stanowi odpowiedź na postulaty zgłaszane przez przedstawicieli mniejszości narodowych i etnicznych, wskazujące na brak zaplecza </w:t>
      </w:r>
      <w:r w:rsidRPr="002772E7">
        <w:rPr>
          <w:rFonts w:ascii="Times New Roman" w:hAnsi="Times New Roman" w:cs="Times New Roman"/>
          <w:sz w:val="24"/>
          <w:szCs w:val="24"/>
        </w:rPr>
        <w:t>merytoryczno-organizacyjnego</w:t>
      </w:r>
      <w:r>
        <w:rPr>
          <w:rFonts w:ascii="Times New Roman" w:hAnsi="Times New Roman" w:cs="Times New Roman"/>
          <w:sz w:val="24"/>
          <w:szCs w:val="24"/>
        </w:rPr>
        <w:t xml:space="preserve"> dla ich działania w Komisji Wspólnej. </w:t>
      </w:r>
      <w:r w:rsidRPr="002772E7">
        <w:rPr>
          <w:rFonts w:ascii="Times New Roman" w:hAnsi="Times New Roman" w:cs="Times New Roman"/>
          <w:sz w:val="24"/>
          <w:szCs w:val="24"/>
        </w:rPr>
        <w:t xml:space="preserve">Dzięki </w:t>
      </w:r>
      <w:r>
        <w:rPr>
          <w:rFonts w:ascii="Times New Roman" w:hAnsi="Times New Roman" w:cs="Times New Roman"/>
          <w:sz w:val="24"/>
          <w:szCs w:val="24"/>
        </w:rPr>
        <w:t>możliwości skuteczniejszej reprezentacji swoich interesów</w:t>
      </w:r>
      <w:r w:rsidRPr="002772E7">
        <w:rPr>
          <w:rFonts w:ascii="Times New Roman" w:hAnsi="Times New Roman" w:cs="Times New Roman"/>
          <w:sz w:val="24"/>
          <w:szCs w:val="24"/>
        </w:rPr>
        <w:t xml:space="preserve"> będą mogli </w:t>
      </w:r>
      <w:r>
        <w:rPr>
          <w:rFonts w:ascii="Times New Roman" w:hAnsi="Times New Roman" w:cs="Times New Roman"/>
          <w:sz w:val="24"/>
          <w:szCs w:val="24"/>
        </w:rPr>
        <w:t xml:space="preserve">oni </w:t>
      </w:r>
      <w:r w:rsidRPr="002772E7">
        <w:rPr>
          <w:rFonts w:ascii="Times New Roman" w:hAnsi="Times New Roman" w:cs="Times New Roman"/>
          <w:sz w:val="24"/>
          <w:szCs w:val="24"/>
        </w:rPr>
        <w:t xml:space="preserve">stać się </w:t>
      </w:r>
      <w:r w:rsidRPr="00166E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ktywniejszym</w:t>
      </w:r>
      <w:r w:rsidRPr="002772E7">
        <w:rPr>
          <w:rFonts w:ascii="Times New Roman" w:hAnsi="Times New Roman" w:cs="Times New Roman"/>
          <w:sz w:val="24"/>
          <w:szCs w:val="24"/>
        </w:rPr>
        <w:t xml:space="preserve"> partnerem strony rządowej w dyskusji na temat potrzeb mniejszości narodowych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2E7">
        <w:rPr>
          <w:rFonts w:ascii="Times New Roman" w:hAnsi="Times New Roman" w:cs="Times New Roman"/>
          <w:sz w:val="24"/>
          <w:szCs w:val="24"/>
        </w:rPr>
        <w:t>etnicznych w Polsce.</w:t>
      </w:r>
      <w:r>
        <w:rPr>
          <w:rFonts w:ascii="Times New Roman" w:hAnsi="Times New Roman" w:cs="Times New Roman"/>
          <w:sz w:val="24"/>
          <w:szCs w:val="24"/>
        </w:rPr>
        <w:t xml:space="preserve"> Zapewnienie wsparcia merytorycznego i organizacyjnego dla wspomnianych podmiotów ma także na celu poprawę jakości debaty publicznej w sprawach istotnych dla </w:t>
      </w:r>
      <w:r w:rsidRPr="003C60AA">
        <w:rPr>
          <w:rFonts w:ascii="Times New Roman" w:hAnsi="Times New Roman" w:cs="Times New Roman"/>
          <w:sz w:val="24"/>
          <w:szCs w:val="24"/>
        </w:rPr>
        <w:t>mniejszości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0AA">
        <w:rPr>
          <w:rFonts w:ascii="Times New Roman" w:hAnsi="Times New Roman" w:cs="Times New Roman"/>
          <w:sz w:val="24"/>
          <w:szCs w:val="24"/>
        </w:rPr>
        <w:t>narodowy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C60AA">
        <w:rPr>
          <w:rFonts w:ascii="Times New Roman" w:hAnsi="Times New Roman" w:cs="Times New Roman"/>
          <w:sz w:val="24"/>
          <w:szCs w:val="24"/>
        </w:rPr>
        <w:t xml:space="preserve"> i etniczny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C60AA">
        <w:rPr>
          <w:rFonts w:ascii="Times New Roman" w:hAnsi="Times New Roman" w:cs="Times New Roman"/>
          <w:sz w:val="24"/>
          <w:szCs w:val="24"/>
        </w:rPr>
        <w:t>.</w:t>
      </w:r>
    </w:p>
    <w:p w14:paraId="55CEAA24" w14:textId="77777777" w:rsidR="007F3AA9" w:rsidRDefault="007F3AA9" w:rsidP="007F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Podkreślenia wymaga, że w X kadencji Sejmu RP Marszałek Sejmu powołał doradcę ds. mniejszości </w:t>
      </w:r>
      <w:r w:rsidRPr="002772E7">
        <w:rPr>
          <w:rFonts w:ascii="Times New Roman" w:hAnsi="Times New Roman" w:cs="Times New Roman"/>
          <w:sz w:val="24"/>
          <w:szCs w:val="24"/>
        </w:rPr>
        <w:t>narodowych i etnicznych</w:t>
      </w:r>
      <w:r>
        <w:rPr>
          <w:rFonts w:ascii="Times New Roman" w:hAnsi="Times New Roman" w:cs="Times New Roman"/>
          <w:sz w:val="24"/>
          <w:szCs w:val="24"/>
        </w:rPr>
        <w:t>. C</w:t>
      </w:r>
      <w:r w:rsidRPr="000F028D">
        <w:rPr>
          <w:rFonts w:ascii="Times New Roman" w:hAnsi="Times New Roman" w:cs="Times New Roman"/>
          <w:sz w:val="24"/>
          <w:szCs w:val="24"/>
        </w:rPr>
        <w:t>elem projektowane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0F028D">
        <w:rPr>
          <w:rFonts w:ascii="Times New Roman" w:hAnsi="Times New Roman" w:cs="Times New Roman"/>
          <w:sz w:val="24"/>
          <w:szCs w:val="24"/>
        </w:rPr>
        <w:t xml:space="preserve"> regulacji jest wprowadzenie </w:t>
      </w:r>
      <w:r>
        <w:rPr>
          <w:rFonts w:ascii="Times New Roman" w:hAnsi="Times New Roman" w:cs="Times New Roman"/>
          <w:sz w:val="24"/>
          <w:szCs w:val="24"/>
        </w:rPr>
        <w:t>ustawowej</w:t>
      </w:r>
      <w:r w:rsidRPr="000F028D">
        <w:rPr>
          <w:rFonts w:ascii="Times New Roman" w:hAnsi="Times New Roman" w:cs="Times New Roman"/>
          <w:sz w:val="24"/>
          <w:szCs w:val="24"/>
        </w:rPr>
        <w:t xml:space="preserve"> zmiany, związanej ze wzmocnieniem </w:t>
      </w:r>
      <w:r>
        <w:rPr>
          <w:rFonts w:ascii="Times New Roman" w:hAnsi="Times New Roman" w:cs="Times New Roman"/>
          <w:sz w:val="24"/>
          <w:szCs w:val="24"/>
        </w:rPr>
        <w:t xml:space="preserve">wsparcia </w:t>
      </w:r>
      <w:r w:rsidRPr="000F028D">
        <w:rPr>
          <w:rFonts w:ascii="Times New Roman" w:hAnsi="Times New Roman" w:cs="Times New Roman"/>
          <w:sz w:val="24"/>
          <w:szCs w:val="24"/>
        </w:rPr>
        <w:t>mniejszości narodowych i etnicznych, a przez to podkreślenie roli, którą pełnią w Polsce.</w:t>
      </w:r>
      <w:r>
        <w:rPr>
          <w:rFonts w:ascii="Times New Roman" w:hAnsi="Times New Roman" w:cs="Times New Roman"/>
          <w:sz w:val="24"/>
          <w:szCs w:val="24"/>
        </w:rPr>
        <w:t xml:space="preserve"> Niniejsza nowelizacja, mimo iż nie wyczerpuje niezbędnych zmian w ustawie o </w:t>
      </w:r>
      <w:r w:rsidRPr="000F028D">
        <w:rPr>
          <w:rFonts w:ascii="Times New Roman" w:hAnsi="Times New Roman" w:cs="Times New Roman"/>
          <w:sz w:val="24"/>
          <w:szCs w:val="24"/>
        </w:rPr>
        <w:t>mniejszościach narodowych i etnicznych oraz o języku regionalnym</w:t>
      </w:r>
      <w:r>
        <w:rPr>
          <w:rFonts w:ascii="Times New Roman" w:hAnsi="Times New Roman" w:cs="Times New Roman"/>
          <w:sz w:val="24"/>
          <w:szCs w:val="24"/>
        </w:rPr>
        <w:t xml:space="preserve">, to w sposób znaczący wzmocni przedstawicieli mniejszości w skutecznym zabieganiu o zmiany w sferze regulacji niezbędne do poprawy sytuacji mniejszości narodowych i etnicznych w Polsce. </w:t>
      </w:r>
    </w:p>
    <w:p w14:paraId="746208B5" w14:textId="77777777" w:rsidR="007F3AA9" w:rsidRDefault="007F3AA9" w:rsidP="007F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obsługi merytorycznej i organizacyjnej przez Kancelarię Sejmu podyktowane jest tym, że Kancelaria Sejmu obsługuje Sejm, czyli przedstawicieli Narodu, reprezentujących zarazem różne ugrupowania polityczne. </w:t>
      </w:r>
      <w:r w:rsidRPr="00133E1D">
        <w:rPr>
          <w:rFonts w:ascii="Times New Roman" w:hAnsi="Times New Roman" w:cs="Times New Roman"/>
          <w:sz w:val="24"/>
          <w:szCs w:val="24"/>
        </w:rPr>
        <w:t>Wybór Kancelarii Sejmu wynika także z faktu, że parlament pełni funkcję kontrolną wobec rządu, do którego zadań – co nie podlega zmianom – należy dział administracji związany z mniejszościami narodowymi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33E1D">
        <w:rPr>
          <w:rFonts w:ascii="Times New Roman" w:hAnsi="Times New Roman" w:cs="Times New Roman"/>
          <w:sz w:val="24"/>
          <w:szCs w:val="24"/>
        </w:rPr>
        <w:t>etnicznymi,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33E1D">
        <w:rPr>
          <w:rFonts w:ascii="Times New Roman" w:hAnsi="Times New Roman" w:cs="Times New Roman"/>
          <w:sz w:val="24"/>
          <w:szCs w:val="24"/>
        </w:rPr>
        <w:t xml:space="preserve">tym obsługa Komisji Wspólnej. </w:t>
      </w:r>
      <w:r>
        <w:rPr>
          <w:rFonts w:ascii="Times New Roman" w:hAnsi="Times New Roman" w:cs="Times New Roman"/>
          <w:sz w:val="24"/>
          <w:szCs w:val="24"/>
        </w:rPr>
        <w:t xml:space="preserve">Co więcej, </w:t>
      </w:r>
      <w:r w:rsidRPr="00C716E6">
        <w:rPr>
          <w:rFonts w:ascii="Times New Roman" w:hAnsi="Times New Roman" w:cs="Times New Roman"/>
          <w:sz w:val="24"/>
          <w:szCs w:val="24"/>
        </w:rPr>
        <w:t xml:space="preserve">Kancelaria Sejmu obecnie zapewnia obsługę m.in. Rady Ochrony Pracy oraz Rady Mediów Narodowych, stąd też zapewnienie obsługi merytorycznej i organizacyjno-prawnej przedstawicieli mniejszości w Komisji Wspólnej nie będzie stanowiło </w:t>
      </w:r>
      <w:r>
        <w:rPr>
          <w:rFonts w:ascii="Times New Roman" w:hAnsi="Times New Roman" w:cs="Times New Roman"/>
          <w:sz w:val="24"/>
          <w:szCs w:val="24"/>
        </w:rPr>
        <w:t>rozwiązania zupełnie nowego</w:t>
      </w:r>
      <w:r w:rsidRPr="00C716E6">
        <w:rPr>
          <w:rFonts w:ascii="Times New Roman" w:hAnsi="Times New Roman" w:cs="Times New Roman"/>
          <w:sz w:val="24"/>
          <w:szCs w:val="24"/>
        </w:rPr>
        <w:t xml:space="preserve"> w zakresie obsługi podmiotów zewnętrznych.</w:t>
      </w:r>
    </w:p>
    <w:p w14:paraId="6FF4FB97" w14:textId="77777777" w:rsidR="007F3AA9" w:rsidRDefault="007F3AA9" w:rsidP="007F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Wskazać również należy, że p</w:t>
      </w:r>
      <w:r w:rsidRPr="00C716E6">
        <w:rPr>
          <w:rFonts w:ascii="Times New Roman" w:hAnsi="Times New Roman" w:cs="Times New Roman"/>
          <w:sz w:val="24"/>
          <w:szCs w:val="24"/>
        </w:rPr>
        <w:t>rojektowane regulacje nie wpły</w:t>
      </w:r>
      <w:r>
        <w:rPr>
          <w:rFonts w:ascii="Times New Roman" w:hAnsi="Times New Roman" w:cs="Times New Roman"/>
          <w:sz w:val="24"/>
          <w:szCs w:val="24"/>
        </w:rPr>
        <w:t xml:space="preserve">ną </w:t>
      </w:r>
      <w:r w:rsidRPr="00C716E6">
        <w:rPr>
          <w:rFonts w:ascii="Times New Roman" w:hAnsi="Times New Roman" w:cs="Times New Roman"/>
          <w:sz w:val="24"/>
          <w:szCs w:val="24"/>
        </w:rPr>
        <w:t>na obecne obowiązki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716E6">
        <w:rPr>
          <w:rFonts w:ascii="Times New Roman" w:hAnsi="Times New Roman" w:cs="Times New Roman"/>
          <w:sz w:val="24"/>
          <w:szCs w:val="24"/>
        </w:rPr>
        <w:t>kompetencje ministra właściwego do spraw wyznań religijnych oraz mniejszości narodowych i etnicznych.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6E6">
        <w:rPr>
          <w:rFonts w:ascii="Times New Roman" w:hAnsi="Times New Roman" w:cs="Times New Roman"/>
          <w:sz w:val="24"/>
          <w:szCs w:val="24"/>
        </w:rPr>
        <w:t xml:space="preserve">Minister właściwy do </w:t>
      </w:r>
      <w:r>
        <w:rPr>
          <w:rFonts w:ascii="Times New Roman" w:hAnsi="Times New Roman" w:cs="Times New Roman"/>
          <w:sz w:val="24"/>
          <w:szCs w:val="24"/>
        </w:rPr>
        <w:t xml:space="preserve">tych </w:t>
      </w:r>
      <w:r w:rsidRPr="009B3722">
        <w:rPr>
          <w:rFonts w:ascii="Times New Roman" w:hAnsi="Times New Roman" w:cs="Times New Roman"/>
          <w:sz w:val="24"/>
          <w:szCs w:val="24"/>
        </w:rPr>
        <w:t>spraw</w:t>
      </w:r>
      <w:r w:rsidRPr="00166E4E">
        <w:t xml:space="preserve"> </w:t>
      </w:r>
      <w:r w:rsidRPr="00C716E6">
        <w:rPr>
          <w:rFonts w:ascii="Times New Roman" w:hAnsi="Times New Roman" w:cs="Times New Roman"/>
          <w:sz w:val="24"/>
          <w:szCs w:val="24"/>
        </w:rPr>
        <w:t xml:space="preserve">w dalszym ciągu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Pr="00C716E6">
        <w:rPr>
          <w:rFonts w:ascii="Times New Roman" w:hAnsi="Times New Roman" w:cs="Times New Roman"/>
          <w:sz w:val="24"/>
          <w:szCs w:val="24"/>
        </w:rPr>
        <w:t>zapewnia</w:t>
      </w:r>
      <w:r>
        <w:rPr>
          <w:rFonts w:ascii="Times New Roman" w:hAnsi="Times New Roman" w:cs="Times New Roman"/>
          <w:sz w:val="24"/>
          <w:szCs w:val="24"/>
        </w:rPr>
        <w:t xml:space="preserve">ł obsługę </w:t>
      </w:r>
      <w:r w:rsidRPr="00C716E6">
        <w:rPr>
          <w:rFonts w:ascii="Times New Roman" w:hAnsi="Times New Roman" w:cs="Times New Roman"/>
          <w:sz w:val="24"/>
          <w:szCs w:val="24"/>
        </w:rPr>
        <w:t>organizacyjno-techniczną prac Komisji Wspólnej (art. 30</w:t>
      </w:r>
      <w:r>
        <w:rPr>
          <w:rFonts w:ascii="Times New Roman" w:hAnsi="Times New Roman" w:cs="Times New Roman"/>
          <w:sz w:val="24"/>
          <w:szCs w:val="24"/>
        </w:rPr>
        <w:t xml:space="preserve"> nowelizowanej ustawy ustawy</w:t>
      </w:r>
      <w:r w:rsidRPr="00C716E6">
        <w:rPr>
          <w:rFonts w:ascii="Times New Roman" w:hAnsi="Times New Roman" w:cs="Times New Roman"/>
          <w:sz w:val="24"/>
          <w:szCs w:val="24"/>
        </w:rPr>
        <w:t>), w tym zapewnia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C716E6">
        <w:rPr>
          <w:rFonts w:ascii="Times New Roman" w:hAnsi="Times New Roman" w:cs="Times New Roman"/>
          <w:sz w:val="24"/>
          <w:szCs w:val="24"/>
        </w:rPr>
        <w:t xml:space="preserve"> świadczenia, przysługujące tzw. stronie mniejszości (zwrot kosztów udziału w posiedzeniach Komisji Wspólnej – art. 29 ust. 2 </w:t>
      </w:r>
      <w:r>
        <w:rPr>
          <w:rFonts w:ascii="Times New Roman" w:hAnsi="Times New Roman" w:cs="Times New Roman"/>
          <w:sz w:val="24"/>
          <w:szCs w:val="24"/>
        </w:rPr>
        <w:t xml:space="preserve">nowelizowanej ustawy </w:t>
      </w:r>
      <w:r w:rsidRPr="00C716E6">
        <w:rPr>
          <w:rFonts w:ascii="Times New Roman" w:hAnsi="Times New Roman" w:cs="Times New Roman"/>
          <w:sz w:val="24"/>
          <w:szCs w:val="24"/>
        </w:rPr>
        <w:t>ustawy). Projektowana ustawa nie zmienia tych regulacji</w:t>
      </w:r>
      <w:r>
        <w:rPr>
          <w:rFonts w:ascii="Times New Roman" w:hAnsi="Times New Roman" w:cs="Times New Roman"/>
          <w:sz w:val="24"/>
          <w:szCs w:val="24"/>
        </w:rPr>
        <w:t xml:space="preserve">, przyznając </w:t>
      </w:r>
      <w:r w:rsidRPr="00C716E6">
        <w:rPr>
          <w:rFonts w:ascii="Times New Roman" w:hAnsi="Times New Roman" w:cs="Times New Roman"/>
          <w:sz w:val="24"/>
          <w:szCs w:val="24"/>
        </w:rPr>
        <w:t>przedstawiciel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 w:rsidRPr="00C716E6">
        <w:rPr>
          <w:rFonts w:ascii="Times New Roman" w:hAnsi="Times New Roman" w:cs="Times New Roman"/>
          <w:sz w:val="24"/>
          <w:szCs w:val="24"/>
        </w:rPr>
        <w:t>mniejszości</w:t>
      </w:r>
      <w:r>
        <w:rPr>
          <w:rFonts w:ascii="Times New Roman" w:hAnsi="Times New Roman" w:cs="Times New Roman"/>
          <w:sz w:val="24"/>
          <w:szCs w:val="24"/>
        </w:rPr>
        <w:t xml:space="preserve"> wsparcie merytoryczne oraz organizacyjno-prawne.</w:t>
      </w:r>
    </w:p>
    <w:p w14:paraId="2464C92B" w14:textId="77777777" w:rsidR="007F3AA9" w:rsidRDefault="007F3AA9" w:rsidP="007F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wykonania ustawy konieczne będzie wprowadzenie zmian organizacyjnych w Kancelarii Sejmu, w postaci utworzenia jednostki organizacyjnej </w:t>
      </w:r>
      <w:r w:rsidRPr="002772E7">
        <w:rPr>
          <w:rFonts w:ascii="Times New Roman" w:hAnsi="Times New Roman" w:cs="Times New Roman"/>
          <w:sz w:val="24"/>
          <w:szCs w:val="24"/>
        </w:rPr>
        <w:t>(np. biura, wydziału, sekcji, zespołu)</w:t>
      </w:r>
      <w:r w:rsidRPr="00C716E6">
        <w:rPr>
          <w:rFonts w:ascii="Times New Roman" w:hAnsi="Times New Roman" w:cs="Times New Roman"/>
          <w:sz w:val="24"/>
          <w:szCs w:val="24"/>
        </w:rPr>
        <w:t xml:space="preserve"> zajmującej się obsługą przedstawicieli mniejszości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4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 wymagać będzie wprowadzenia zmian w Regulaminie Organizacyjnym Kancelarii Sejmu</w:t>
      </w:r>
      <w:r w:rsidRPr="00C716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77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A7777">
        <w:rPr>
          <w:rFonts w:ascii="Times New Roman" w:hAnsi="Times New Roman" w:cs="Times New Roman"/>
          <w:sz w:val="24"/>
          <w:szCs w:val="24"/>
        </w:rPr>
        <w:t>zaś będzie wiązało się ze zmianami kadrowymi, tj. z przeniesienie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A7777">
        <w:rPr>
          <w:rFonts w:ascii="Times New Roman" w:hAnsi="Times New Roman" w:cs="Times New Roman"/>
          <w:sz w:val="24"/>
          <w:szCs w:val="24"/>
        </w:rPr>
        <w:t xml:space="preserve"> pracowników do tej jednostki organizacyjnej lub </w:t>
      </w:r>
      <w:r>
        <w:rPr>
          <w:rFonts w:ascii="Times New Roman" w:hAnsi="Times New Roman" w:cs="Times New Roman"/>
          <w:sz w:val="24"/>
          <w:szCs w:val="24"/>
        </w:rPr>
        <w:t xml:space="preserve">też z </w:t>
      </w:r>
      <w:r w:rsidRPr="009A7777">
        <w:rPr>
          <w:rFonts w:ascii="Times New Roman" w:hAnsi="Times New Roman" w:cs="Times New Roman"/>
          <w:sz w:val="24"/>
          <w:szCs w:val="24"/>
        </w:rPr>
        <w:t>zatrudnieniem nowych pracowników</w:t>
      </w:r>
      <w:r>
        <w:rPr>
          <w:rFonts w:ascii="Times New Roman" w:hAnsi="Times New Roman" w:cs="Times New Roman"/>
          <w:sz w:val="24"/>
          <w:szCs w:val="24"/>
        </w:rPr>
        <w:t xml:space="preserve">. Ustawa nie przesądza usytuowania tej jednostki w strukturze Kancelarii Sejmu ani jej wielkości, gdyż regulować to powinny akty wewnętrzne Kancelarii Sejmu oraz stosowne rozstrzygnięcia jej kierownictwa. Niemniej jednak projektodawcy zakładają, że skutkiem projektowanych regulacji będzie utworzenie w Kancelarii Sejmu jednostki organizacyjnej, zatrudniającej od dwóch do trzech osób. </w:t>
      </w:r>
    </w:p>
    <w:p w14:paraId="49862D18" w14:textId="77777777" w:rsidR="007F3AA9" w:rsidRDefault="007F3AA9" w:rsidP="007F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4F5">
        <w:rPr>
          <w:rFonts w:ascii="Times New Roman" w:hAnsi="Times New Roman" w:cs="Times New Roman"/>
          <w:sz w:val="24"/>
          <w:szCs w:val="24"/>
        </w:rPr>
        <w:t>W efekcie proponowanych zmian wchodzący w skład Komisji Wspólnej przedstawiciele mniejszości będą korzystali ze wsparcia organizacyjnego Kancelarii Sejmu (w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44F5">
        <w:rPr>
          <w:rFonts w:ascii="Times New Roman" w:hAnsi="Times New Roman" w:cs="Times New Roman"/>
          <w:sz w:val="24"/>
          <w:szCs w:val="24"/>
        </w:rPr>
        <w:t xml:space="preserve">tym z przestrzeni biurowej oraz ze wsparcia organizacyjnego pracowników Kancelarii Sejmu) oraz z zaplecza eksperckiego, </w:t>
      </w:r>
      <w:r>
        <w:rPr>
          <w:rFonts w:ascii="Times New Roman" w:hAnsi="Times New Roman" w:cs="Times New Roman"/>
          <w:sz w:val="24"/>
          <w:szCs w:val="24"/>
        </w:rPr>
        <w:t xml:space="preserve">dzięki któremu </w:t>
      </w:r>
      <w:r w:rsidRPr="00D544F5">
        <w:rPr>
          <w:rFonts w:ascii="Times New Roman" w:hAnsi="Times New Roman" w:cs="Times New Roman"/>
          <w:sz w:val="24"/>
          <w:szCs w:val="24"/>
        </w:rPr>
        <w:t>wchodzący w skład Komisji Wspólnej przedstawiciele mniejszości uzyskują wsparcie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44F5">
        <w:rPr>
          <w:rFonts w:ascii="Times New Roman" w:hAnsi="Times New Roman" w:cs="Times New Roman"/>
          <w:sz w:val="24"/>
          <w:szCs w:val="24"/>
        </w:rPr>
        <w:t>zakresie prawnym – np. w związku z</w:t>
      </w:r>
      <w:r>
        <w:rPr>
          <w:rFonts w:ascii="Times New Roman" w:hAnsi="Times New Roman" w:cs="Times New Roman"/>
          <w:sz w:val="24"/>
          <w:szCs w:val="24"/>
        </w:rPr>
        <w:t xml:space="preserve"> opiniowaniem </w:t>
      </w:r>
      <w:r w:rsidRPr="00D544F5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D544F5">
        <w:rPr>
          <w:rFonts w:ascii="Times New Roman" w:hAnsi="Times New Roman" w:cs="Times New Roman"/>
          <w:sz w:val="24"/>
          <w:szCs w:val="24"/>
        </w:rPr>
        <w:t xml:space="preserve"> aktów prawnych, będących przedmiotem dyskusji podczas obrad Komisji Wspólnej.</w:t>
      </w:r>
    </w:p>
    <w:p w14:paraId="3B7CCD95" w14:textId="77777777" w:rsidR="007F3AA9" w:rsidRDefault="007F3AA9" w:rsidP="007F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przewiduje wejście w życie regulacji po upływie </w:t>
      </w:r>
      <w:r w:rsidRPr="002772E7">
        <w:rPr>
          <w:rFonts w:ascii="Times New Roman" w:hAnsi="Times New Roman" w:cs="Times New Roman"/>
          <w:sz w:val="24"/>
          <w:szCs w:val="24"/>
        </w:rPr>
        <w:t>3 miesięcy od dnia ogłoszenia</w:t>
      </w:r>
      <w:r>
        <w:rPr>
          <w:rFonts w:ascii="Times New Roman" w:hAnsi="Times New Roman" w:cs="Times New Roman"/>
          <w:sz w:val="24"/>
          <w:szCs w:val="24"/>
        </w:rPr>
        <w:t xml:space="preserve"> ustawy. Jest to związane z potrzebą przeprowadzenia zmian organizacyjnych w Kancelarii Sejmu, w tym dokonania niezbędnych zmian kadrowych. </w:t>
      </w:r>
    </w:p>
    <w:p w14:paraId="3DE79B21" w14:textId="77777777" w:rsidR="007F3AA9" w:rsidRPr="00D544F5" w:rsidRDefault="007F3AA9" w:rsidP="007F3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jest zgodny z prawem Unii Europejskiej.</w:t>
      </w:r>
    </w:p>
    <w:p w14:paraId="79371E32" w14:textId="77777777" w:rsidR="007F3AA9" w:rsidRDefault="007F3AA9" w:rsidP="007F3AA9"/>
    <w:p w14:paraId="45136F93" w14:textId="77777777" w:rsidR="00F740E1" w:rsidRPr="007F3AA9" w:rsidRDefault="00F740E1" w:rsidP="007F3AA9"/>
    <w:sectPr w:rsidR="00F740E1" w:rsidRPr="007F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D0"/>
    <w:rsid w:val="001B7544"/>
    <w:rsid w:val="004A0490"/>
    <w:rsid w:val="00505CD0"/>
    <w:rsid w:val="00683001"/>
    <w:rsid w:val="007F3AA9"/>
    <w:rsid w:val="00A40693"/>
    <w:rsid w:val="00C46926"/>
    <w:rsid w:val="00CE7AEB"/>
    <w:rsid w:val="00F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404D"/>
  <w15:chartTrackingRefBased/>
  <w15:docId w15:val="{1D5EAEEC-DA47-40DB-8D07-CD97CE70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AA9"/>
  </w:style>
  <w:style w:type="paragraph" w:styleId="Nagwek1">
    <w:name w:val="heading 1"/>
    <w:basedOn w:val="Normalny"/>
    <w:next w:val="Normalny"/>
    <w:link w:val="Nagwek1Znak"/>
    <w:uiPriority w:val="9"/>
    <w:qFormat/>
    <w:rsid w:val="00505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C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C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C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C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C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C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C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C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C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C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CD0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683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Sejmu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Maurycy Przyrowski</dc:creator>
  <cp:keywords/>
  <dc:description/>
  <cp:lastModifiedBy>Maurycy Przyrowski</cp:lastModifiedBy>
  <cp:revision>3</cp:revision>
  <dcterms:created xsi:type="dcterms:W3CDTF">2025-02-18T09:11:00Z</dcterms:created>
  <dcterms:modified xsi:type="dcterms:W3CDTF">2025-02-18T12:31:00Z</dcterms:modified>
</cp:coreProperties>
</file>